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2023年6月，李玲律师成功入选湖南省创业导师。</w:t>
      </w:r>
      <w:r>
        <w:rPr>
          <w:rFonts w:hint="eastAsia" w:asciiTheme="majorEastAsia" w:hAnsiTheme="majorEastAsia" w:eastAsiaTheme="majorEastAsia" w:cstheme="majorEastAsia"/>
          <w:color w:val="auto"/>
          <w:sz w:val="24"/>
          <w:szCs w:val="24"/>
          <w:shd w:val="clear" w:color="auto" w:fill="auto"/>
        </w:rPr>
        <w:tab/>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创业导师是指拥有良好声誉、突出业绩、奉献精神，接受科技部门、行业协会和双创载体聘任，能够对创业企业、创业者提供专业性、实践性辅导服务的专家。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获得入库的创业导师资格的有效期为2年。被评为湖南省创业导师的专家，将作为创新创业研究专家，面向全省开展双创辅导、政策调研、创业培训、项目论证、资本运营等一系列创业服务工作。</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ajorEastAsia" w:hAnsiTheme="majorEastAsia" w:eastAsiaTheme="majorEastAsia" w:cstheme="majorEastAsia"/>
          <w:color w:val="auto"/>
          <w:sz w:val="24"/>
          <w:szCs w:val="24"/>
          <w:shd w:val="clear" w:color="auto" w:fill="auto"/>
          <w:lang w:eastAsia="zh-CN"/>
        </w:rPr>
      </w:pPr>
      <w:r>
        <w:rPr>
          <w:rFonts w:hint="eastAsia" w:asciiTheme="majorEastAsia" w:hAnsiTheme="majorEastAsia" w:eastAsiaTheme="majorEastAsia" w:cstheme="majorEastAsia"/>
          <w:color w:val="auto"/>
          <w:sz w:val="24"/>
          <w:szCs w:val="24"/>
          <w:shd w:val="clear" w:color="auto" w:fill="auto"/>
          <w:lang w:eastAsia="zh-CN"/>
        </w:rPr>
        <w:drawing>
          <wp:anchor distT="0" distB="0" distL="114300" distR="114300" simplePos="0" relativeHeight="251659264" behindDoc="1" locked="0" layoutInCell="1" allowOverlap="1">
            <wp:simplePos x="0" y="0"/>
            <wp:positionH relativeFrom="column">
              <wp:posOffset>1364615</wp:posOffset>
            </wp:positionH>
            <wp:positionV relativeFrom="paragraph">
              <wp:posOffset>81915</wp:posOffset>
            </wp:positionV>
            <wp:extent cx="2544445" cy="3599815"/>
            <wp:effectExtent l="0" t="0" r="8255" b="635"/>
            <wp:wrapTight wrapText="bothSides">
              <wp:wrapPolygon>
                <wp:start x="0" y="0"/>
                <wp:lineTo x="0" y="21490"/>
                <wp:lineTo x="21508" y="21490"/>
                <wp:lineTo x="21508" y="0"/>
                <wp:lineTo x="0" y="0"/>
              </wp:wrapPolygon>
            </wp:wrapTight>
            <wp:docPr id="8" name="图片 8" descr="公众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公众号2"/>
                    <pic:cNvPicPr>
                      <a:picLocks noChangeAspect="1"/>
                    </pic:cNvPicPr>
                  </pic:nvPicPr>
                  <pic:blipFill>
                    <a:blip r:embed="rId4"/>
                    <a:stretch>
                      <a:fillRect/>
                    </a:stretch>
                  </pic:blipFill>
                  <pic:spPr>
                    <a:xfrm>
                      <a:off x="0" y="0"/>
                      <a:ext cx="2544445" cy="35998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此次入选，是对李玲律师在企业合规管理领域多年优秀的专业经验与能力的肯定和高度认可。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今后，佰仕杰律师事务所将与李玲律师一起认真履行政策咨询、业务指导、技术支持和支撑服务等相关职责，积极为企业经营管理合规贡献专业力量。</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ajorEastAsia" w:hAnsiTheme="majorEastAsia" w:eastAsiaTheme="majorEastAsia" w:cstheme="majorEastAsia"/>
          <w:color w:val="auto"/>
          <w:sz w:val="24"/>
          <w:szCs w:val="24"/>
          <w:shd w:val="clear" w:color="auto" w:fill="auto"/>
          <w:lang w:eastAsia="zh-CN"/>
        </w:rPr>
      </w:pPr>
      <w:r>
        <w:rPr>
          <w:rFonts w:hint="eastAsia" w:asciiTheme="majorEastAsia" w:hAnsiTheme="majorEastAsia" w:eastAsiaTheme="majorEastAsia" w:cstheme="majorEastAsia"/>
          <w:color w:val="auto"/>
          <w:sz w:val="24"/>
          <w:szCs w:val="24"/>
          <w:shd w:val="clear" w:color="auto" w:fill="auto"/>
        </w:rPr>
        <w:t> </w:t>
      </w:r>
      <w:r>
        <w:rPr>
          <w:rFonts w:hint="eastAsia" w:asciiTheme="majorEastAsia" w:hAnsiTheme="majorEastAsia" w:eastAsiaTheme="majorEastAsia" w:cstheme="majorEastAsia"/>
          <w:color w:val="auto"/>
          <w:sz w:val="24"/>
          <w:szCs w:val="24"/>
          <w:shd w:val="clear" w:color="auto" w:fill="auto"/>
          <w:lang w:eastAsia="zh-CN"/>
        </w:rPr>
        <w:drawing>
          <wp:anchor distT="0" distB="0" distL="114300" distR="114300" simplePos="0" relativeHeight="251660288" behindDoc="1" locked="0" layoutInCell="1" allowOverlap="1">
            <wp:simplePos x="0" y="0"/>
            <wp:positionH relativeFrom="column">
              <wp:posOffset>1736725</wp:posOffset>
            </wp:positionH>
            <wp:positionV relativeFrom="paragraph">
              <wp:posOffset>63500</wp:posOffset>
            </wp:positionV>
            <wp:extent cx="1800225" cy="1800225"/>
            <wp:effectExtent l="0" t="0" r="9525" b="9525"/>
            <wp:wrapTight wrapText="bothSides">
              <wp:wrapPolygon>
                <wp:start x="0" y="0"/>
                <wp:lineTo x="0" y="21486"/>
                <wp:lineTo x="21486" y="21486"/>
                <wp:lineTo x="21486" y="0"/>
                <wp:lineTo x="0" y="0"/>
              </wp:wrapPolygon>
            </wp:wrapTight>
            <wp:docPr id="9" name="图片 9" descr="公众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众号3"/>
                    <pic:cNvPicPr>
                      <a:picLocks noChangeAspect="1"/>
                    </pic:cNvPicPr>
                  </pic:nvPicPr>
                  <pic:blipFill>
                    <a:blip r:embed="rId5"/>
                    <a:stretch>
                      <a:fillRect/>
                    </a:stretch>
                  </pic:blipFill>
                  <pic:spPr>
                    <a:xfrm>
                      <a:off x="0" y="0"/>
                      <a:ext cx="1800225" cy="180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广东佰仕杰律师事务所合伙人，互联网部负责人，资深产品合规专家，特聘股权顾问，互联网企业财税专家。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李玲律师曾为行业知名游戏企业及其集团公司持续提供7年法律服务，覆盖企业成立、上市企业并购全流程，具有扎实的法学理论知识和丰富的非诉实务经验，擅长合规内控、公司治理与股权结构设计。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执业期间作为主办律师，先后处理诉讼、非诉讼法律事务数100余起，其所代理的案件荣获“2018年度广州律师协会业务成果奖”、“2020年度商法优秀案例”、“2020年度广州律师协会业务成果奖”、“2020年度岭南知识产权优秀诉讼案例”等奖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始终秉持客户利益至上，勤勉敬业，以严谨细致的工作态度和专业法律知识维护客户的合法权益，为当事人排忧解难，有效维护当事人的合法权益，获得客户的一致好评。</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ajorEastAsia" w:hAnsiTheme="majorEastAsia" w:eastAsiaTheme="majorEastAsia" w:cstheme="majorEastAsia"/>
          <w:color w:val="auto"/>
          <w:sz w:val="24"/>
          <w:szCs w:val="24"/>
          <w:shd w:val="clear" w:color="auto" w:fill="auto"/>
          <w:lang w:eastAsia="zh-CN"/>
        </w:rPr>
      </w:pPr>
      <w:r>
        <w:rPr>
          <w:rFonts w:hint="eastAsia" w:asciiTheme="majorEastAsia" w:hAnsiTheme="majorEastAsia" w:eastAsiaTheme="majorEastAsia" w:cstheme="majorEastAsia"/>
          <w:color w:val="auto"/>
          <w:sz w:val="24"/>
          <w:szCs w:val="24"/>
          <w:shd w:val="clear" w:color="auto" w:fill="auto"/>
          <w:lang w:eastAsia="zh-CN"/>
        </w:rPr>
        <w:drawing>
          <wp:anchor distT="0" distB="0" distL="114300" distR="114300" simplePos="0" relativeHeight="251661312" behindDoc="1" locked="0" layoutInCell="1" allowOverlap="1">
            <wp:simplePos x="0" y="0"/>
            <wp:positionH relativeFrom="column">
              <wp:posOffset>1736725</wp:posOffset>
            </wp:positionH>
            <wp:positionV relativeFrom="paragraph">
              <wp:posOffset>85725</wp:posOffset>
            </wp:positionV>
            <wp:extent cx="1800225" cy="1800225"/>
            <wp:effectExtent l="0" t="0" r="9525" b="9525"/>
            <wp:wrapTight wrapText="bothSides">
              <wp:wrapPolygon>
                <wp:start x="0" y="0"/>
                <wp:lineTo x="0" y="21486"/>
                <wp:lineTo x="21486" y="21486"/>
                <wp:lineTo x="21486" y="0"/>
                <wp:lineTo x="0" y="0"/>
              </wp:wrapPolygon>
            </wp:wrapTight>
            <wp:docPr id="10" name="图片 10" descr="公众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众号4"/>
                    <pic:cNvPicPr>
                      <a:picLocks noChangeAspect="1"/>
                    </pic:cNvPicPr>
                  </pic:nvPicPr>
                  <pic:blipFill>
                    <a:blip r:embed="rId6"/>
                    <a:stretch>
                      <a:fillRect/>
                    </a:stretch>
                  </pic:blipFill>
                  <pic:spPr>
                    <a:xfrm>
                      <a:off x="0" y="0"/>
                      <a:ext cx="1800225" cy="180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朱宇倩律师，十三年资深游戏人，潮游圈 法律顾问，广东(佛山)湖南商会法律顾问，人力资源管理师，企业合规认证师，中小企业协会【中小企业合规评价认证标准】起草人。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朱宇倩律师曾为克明面业（002661）提供上市法律服务；先后于明朝网络、银汉游戏、9377等中大型互联网公司任管理层，有一线实务操作，负责过多款千万级别游戏产品的研发及发行。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擅长游戏公司的核心风控体系建设、合同&amp;侵权纠纷处理、股权架构和投融资处理。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曾为多家游戏公司获得腾讯、头条、37、途游等公司的股权投资提供专业的法律服务，为多家互联网公司解决著作权侵权、股权投资及退出、员工劳动合同、业务应收款追回等多类纠纷诉讼。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对互联网产品的业务流程、技术特点、商业逻辑等均有深入研究及思考，擅于结合商业与法律的不同实践，从客户与律师的不同维度为客户在复杂交易中提炼核心问题，并为客户找到合适的解決方案，受到客户的广泛好评。</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drawing>
          <wp:anchor distT="0" distB="0" distL="114300" distR="114300" simplePos="0" relativeHeight="251663360" behindDoc="1" locked="0" layoutInCell="1" allowOverlap="1">
            <wp:simplePos x="0" y="0"/>
            <wp:positionH relativeFrom="column">
              <wp:posOffset>1797685</wp:posOffset>
            </wp:positionH>
            <wp:positionV relativeFrom="paragraph">
              <wp:posOffset>8255</wp:posOffset>
            </wp:positionV>
            <wp:extent cx="1800225" cy="1800225"/>
            <wp:effectExtent l="0" t="0" r="9525" b="9525"/>
            <wp:wrapTight wrapText="bothSides">
              <wp:wrapPolygon>
                <wp:start x="0" y="0"/>
                <wp:lineTo x="0" y="21486"/>
                <wp:lineTo x="21486" y="21486"/>
                <wp:lineTo x="21486" y="0"/>
                <wp:lineTo x="0" y="0"/>
              </wp:wrapPolygon>
            </wp:wrapTight>
            <wp:docPr id="12" name="图片 12" descr="公众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公众号5"/>
                    <pic:cNvPicPr>
                      <a:picLocks noChangeAspect="1"/>
                    </pic:cNvPicPr>
                  </pic:nvPicPr>
                  <pic:blipFill>
                    <a:blip r:embed="rId7"/>
                    <a:stretch>
                      <a:fillRect/>
                    </a:stretch>
                  </pic:blipFill>
                  <pic:spPr>
                    <a:xfrm>
                      <a:off x="0" y="0"/>
                      <a:ext cx="1800225" cy="180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Gamer游戏法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为互联网 | 游戏企业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行业痛点 | 疑难案件提供整体解决方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我们擅长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知识产权 | 业务合规 | 刑事风险 | 公司股权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劳动人事 | 合同回款 | 强制执行 | 破产清算</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Gamer游戏法律师团队由朱宇倩律师、李玲律师组建，是国内少有的具有互联网(游戏)公司&amp;律师的双重从业经验、善于以“商业＋法律”的复合视角为客户提供极具商业价值法律意见的律师团队。</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13年行业实务/法律经验</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累计服务100余家游戏&amp;互联网企业</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追回行业欠款上亿元</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累积节税上千万元</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客户覆盖广州·深圳·北京·上海·成都·福州…</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团队基于对商业、技术、法律规则的深刻理解和丰富、多元的诉讼经验，熟悉游戏研发商、发行商、推广方、渠道方等游戏行业上下游各类业务模式，了解游戏行业的前沿问题，专注于疑难复杂互联网案件。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团队服务内容包括产品合规、运营推广合规、重大交易文件审核、公司日常治理，股权设计及投融资、争议解决等，全力为客户提供可信赖、专业、优化的法律服务。</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联系我们丨专业研讨丨法律咨询</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朱宇倩律师  |  Gamer游戏法</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手机：15626065806</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邮箱：legal@gamer.gd.cn</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地址：珠江新城金穗路62号侨鑫国际15楼</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专注互联网&amp;游戏13年</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ajorEastAsia" w:hAnsiTheme="majorEastAsia" w:eastAsiaTheme="majorEastAsia" w:cstheme="majorEastAsia"/>
          <w:color w:val="auto"/>
          <w:sz w:val="24"/>
          <w:szCs w:val="24"/>
          <w:shd w:val="clear" w:color="auto" w:fill="auto"/>
          <w:lang w:eastAsia="zh-CN"/>
        </w:rPr>
      </w:pPr>
      <w:r>
        <w:rPr>
          <w:rFonts w:hint="eastAsia" w:asciiTheme="majorEastAsia" w:hAnsiTheme="majorEastAsia" w:eastAsiaTheme="majorEastAsia" w:cstheme="majorEastAsia"/>
          <w:color w:val="auto"/>
          <w:sz w:val="24"/>
          <w:szCs w:val="24"/>
          <w:shd w:val="clear" w:color="auto" w:fill="auto"/>
          <w:lang w:eastAsia="zh-CN"/>
        </w:rPr>
        <w:drawing>
          <wp:anchor distT="0" distB="0" distL="114300" distR="114300" simplePos="0" relativeHeight="251662336" behindDoc="1" locked="0" layoutInCell="1" allowOverlap="1">
            <wp:simplePos x="0" y="0"/>
            <wp:positionH relativeFrom="column">
              <wp:posOffset>1740535</wp:posOffset>
            </wp:positionH>
            <wp:positionV relativeFrom="paragraph">
              <wp:posOffset>85725</wp:posOffset>
            </wp:positionV>
            <wp:extent cx="1792605" cy="1800225"/>
            <wp:effectExtent l="0" t="0" r="17145" b="9525"/>
            <wp:wrapTight wrapText="bothSides">
              <wp:wrapPolygon>
                <wp:start x="0" y="0"/>
                <wp:lineTo x="0" y="21486"/>
                <wp:lineTo x="21348" y="21486"/>
                <wp:lineTo x="21348" y="0"/>
                <wp:lineTo x="0" y="0"/>
              </wp:wrapPolygon>
            </wp:wrapTight>
            <wp:docPr id="11" name="图片 11" descr="公众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众号6"/>
                    <pic:cNvPicPr>
                      <a:picLocks noChangeAspect="1"/>
                    </pic:cNvPicPr>
                  </pic:nvPicPr>
                  <pic:blipFill>
                    <a:blip r:embed="rId8"/>
                    <a:stretch>
                      <a:fillRect/>
                    </a:stretch>
                  </pic:blipFill>
                  <pic:spPr>
                    <a:xfrm>
                      <a:off x="0" y="0"/>
                      <a:ext cx="1792605" cy="180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广东佰仕杰律师事务所拥有一支精通法律、经济和外语的复合型人才队伍，组建有精诚团结合作的律师团队。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设有刑事辩护部、婚姻家事部、房产交易部、交通事故部、医疗事业部、诉讼仲裁部、知识产权部、金融证券部、建筑工程部、公司法务部、投资者保护部、互联网法律部12个专业部门。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立意为在珠三角各城市均有业务往来的企业和商务人士提供全方位、跨地域法律服务。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color w:val="auto"/>
          <w:sz w:val="24"/>
          <w:szCs w:val="24"/>
          <w:shd w:val="clear" w:color="auto" w:fill="auto"/>
        </w:rPr>
      </w:pPr>
      <w:r>
        <w:rPr>
          <w:rFonts w:hint="eastAsia" w:asciiTheme="majorEastAsia" w:hAnsiTheme="majorEastAsia" w:eastAsiaTheme="majorEastAsia" w:cstheme="majorEastAsia"/>
          <w:color w:val="auto"/>
          <w:sz w:val="24"/>
          <w:szCs w:val="24"/>
          <w:shd w:val="clear" w:color="auto" w:fill="auto"/>
        </w:rPr>
        <w:t>佰仕杰律所秉承“有担当，更出众”的文化发展理念，为客户提供优质高效的法律服务和商业信息增值服务。</w:t>
      </w:r>
    </w:p>
    <w:p>
      <w:pPr>
        <w:rPr>
          <w:rFonts w:hint="eastAsia" w:asciiTheme="majorEastAsia" w:hAnsiTheme="majorEastAsia" w:eastAsiaTheme="majorEastAsia" w:cstheme="majorEastAsia"/>
          <w:color w:val="auto"/>
          <w:sz w:val="24"/>
          <w:szCs w:val="24"/>
          <w:shd w:val="clear" w:color="auto" w:fill="auto"/>
          <w:lang w:eastAsia="zh-CN"/>
        </w:rPr>
      </w:pPr>
      <w:r>
        <w:rPr>
          <w:rFonts w:hint="eastAsia" w:asciiTheme="majorEastAsia" w:hAnsiTheme="majorEastAsia" w:eastAsiaTheme="majorEastAsia" w:cstheme="majorEastAsia"/>
          <w:color w:val="auto"/>
          <w:sz w:val="24"/>
          <w:szCs w:val="24"/>
          <w:shd w:val="clear" w:color="auto" w:fill="auto"/>
          <w:lang w:eastAsia="zh-CN"/>
        </w:rPr>
        <w:drawing>
          <wp:anchor distT="0" distB="0" distL="114300" distR="114300" simplePos="0" relativeHeight="251664384" behindDoc="1" locked="0" layoutInCell="1" allowOverlap="1">
            <wp:simplePos x="0" y="0"/>
            <wp:positionH relativeFrom="column">
              <wp:posOffset>635</wp:posOffset>
            </wp:positionH>
            <wp:positionV relativeFrom="paragraph">
              <wp:posOffset>36195</wp:posOffset>
            </wp:positionV>
            <wp:extent cx="5273040" cy="3295650"/>
            <wp:effectExtent l="0" t="0" r="3810" b="0"/>
            <wp:wrapTight wrapText="bothSides">
              <wp:wrapPolygon>
                <wp:start x="0" y="0"/>
                <wp:lineTo x="0" y="21475"/>
                <wp:lineTo x="21538" y="21475"/>
                <wp:lineTo x="21538" y="0"/>
                <wp:lineTo x="0" y="0"/>
              </wp:wrapPolygon>
            </wp:wrapTight>
            <wp:docPr id="13" name="图片 13" descr="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尾图"/>
                    <pic:cNvPicPr>
                      <a:picLocks noChangeAspect="1"/>
                    </pic:cNvPicPr>
                  </pic:nvPicPr>
                  <pic:blipFill>
                    <a:blip r:embed="rId9"/>
                    <a:stretch>
                      <a:fillRect/>
                    </a:stretch>
                  </pic:blipFill>
                  <pic:spPr>
                    <a:xfrm>
                      <a:off x="0" y="0"/>
                      <a:ext cx="5273040" cy="3295650"/>
                    </a:xfrm>
                    <a:prstGeom prst="rect">
                      <a:avLst/>
                    </a:prstGeom>
                  </pic:spPr>
                </pic:pic>
              </a:graphicData>
            </a:graphic>
          </wp:anchor>
        </w:drawing>
      </w:r>
    </w:p>
    <w:p>
      <w:pPr>
        <w:jc w:val="center"/>
        <w:rPr>
          <w:rFonts w:hint="eastAsia" w:asciiTheme="majorEastAsia" w:hAnsiTheme="majorEastAsia" w:eastAsiaTheme="majorEastAsia" w:cstheme="majorEastAsia"/>
          <w:color w:val="AFABAB" w:themeColor="background2" w:themeShade="BF"/>
          <w:sz w:val="20"/>
          <w:szCs w:val="20"/>
          <w:shd w:val="clear" w:color="auto" w:fill="auto"/>
        </w:rPr>
      </w:pPr>
      <w:r>
        <w:rPr>
          <w:rFonts w:hint="eastAsia" w:asciiTheme="majorEastAsia" w:hAnsiTheme="majorEastAsia" w:eastAsiaTheme="majorEastAsia" w:cstheme="majorEastAsia"/>
          <w:color w:val="AFABAB" w:themeColor="background2" w:themeShade="BF"/>
          <w:sz w:val="20"/>
          <w:szCs w:val="20"/>
          <w:shd w:val="clear" w:color="auto" w:fill="auto"/>
        </w:rPr>
        <w:t>文稿：李浩梁</w:t>
      </w:r>
      <w:bookmarkStart w:id="0" w:name="_GoBack"/>
      <w:bookmarkEnd w:id="0"/>
    </w:p>
    <w:p>
      <w:pPr>
        <w:jc w:val="center"/>
        <w:rPr>
          <w:rFonts w:hint="eastAsia" w:asciiTheme="majorEastAsia" w:hAnsiTheme="majorEastAsia" w:eastAsiaTheme="majorEastAsia" w:cstheme="majorEastAsia"/>
          <w:color w:val="AFABAB" w:themeColor="background2" w:themeShade="BF"/>
          <w:sz w:val="20"/>
          <w:szCs w:val="20"/>
          <w:shd w:val="clear" w:color="auto" w:fill="auto"/>
        </w:rPr>
      </w:pPr>
      <w:r>
        <w:rPr>
          <w:rFonts w:hint="eastAsia" w:asciiTheme="majorEastAsia" w:hAnsiTheme="majorEastAsia" w:eastAsiaTheme="majorEastAsia" w:cstheme="majorEastAsia"/>
          <w:color w:val="AFABAB" w:themeColor="background2" w:themeShade="BF"/>
          <w:sz w:val="20"/>
          <w:szCs w:val="20"/>
          <w:shd w:val="clear" w:color="auto" w:fill="auto"/>
        </w:rPr>
        <w:t>编辑：郝雅琪</w:t>
      </w:r>
    </w:p>
    <w:p>
      <w:pPr>
        <w:jc w:val="center"/>
        <w:rPr>
          <w:rFonts w:hint="eastAsia" w:asciiTheme="majorEastAsia" w:hAnsiTheme="majorEastAsia" w:eastAsiaTheme="majorEastAsia" w:cstheme="majorEastAsia"/>
          <w:color w:val="AFABAB" w:themeColor="background2" w:themeShade="BF"/>
          <w:sz w:val="20"/>
          <w:szCs w:val="20"/>
          <w:shd w:val="clear" w:color="auto" w:fill="auto"/>
        </w:rPr>
      </w:pPr>
      <w:r>
        <w:rPr>
          <w:rFonts w:hint="eastAsia" w:asciiTheme="majorEastAsia" w:hAnsiTheme="majorEastAsia" w:eastAsiaTheme="majorEastAsia" w:cstheme="majorEastAsia"/>
          <w:color w:val="AFABAB" w:themeColor="background2" w:themeShade="BF"/>
          <w:sz w:val="20"/>
          <w:szCs w:val="20"/>
          <w:shd w:val="clear" w:color="auto" w:fill="auto"/>
        </w:rPr>
        <w:t>审核：赵耀芬</w:t>
      </w:r>
    </w:p>
    <w:p>
      <w:pPr>
        <w:jc w:val="center"/>
        <w:rPr>
          <w:rFonts w:hint="eastAsia" w:asciiTheme="majorEastAsia" w:hAnsiTheme="majorEastAsia" w:eastAsiaTheme="majorEastAsia" w:cstheme="majorEastAsia"/>
          <w:color w:val="AFABAB" w:themeColor="background2" w:themeShade="BF"/>
          <w:sz w:val="20"/>
          <w:szCs w:val="20"/>
          <w:shd w:val="clear" w:color="auto" w:fill="auto"/>
        </w:rPr>
      </w:pPr>
      <w:r>
        <w:rPr>
          <w:rFonts w:hint="eastAsia" w:asciiTheme="majorEastAsia" w:hAnsiTheme="majorEastAsia" w:eastAsiaTheme="majorEastAsia" w:cstheme="majorEastAsia"/>
          <w:color w:val="AFABAB" w:themeColor="background2" w:themeShade="BF"/>
          <w:sz w:val="20"/>
          <w:szCs w:val="20"/>
          <w:shd w:val="clear" w:color="auto" w:fill="auto"/>
        </w:rPr>
        <w:t>微信号｜bsj110119</w:t>
      </w:r>
    </w:p>
    <w:p>
      <w:pPr>
        <w:jc w:val="center"/>
        <w:rPr>
          <w:rFonts w:hint="eastAsia" w:asciiTheme="majorEastAsia" w:hAnsiTheme="majorEastAsia" w:eastAsiaTheme="majorEastAsia" w:cstheme="majorEastAsia"/>
          <w:color w:val="AFABAB" w:themeColor="background2" w:themeShade="BF"/>
          <w:sz w:val="20"/>
          <w:szCs w:val="20"/>
          <w:shd w:val="clear" w:color="auto" w:fill="auto"/>
        </w:rPr>
      </w:pPr>
      <w:r>
        <w:rPr>
          <w:rFonts w:hint="eastAsia" w:asciiTheme="majorEastAsia" w:hAnsiTheme="majorEastAsia" w:eastAsiaTheme="majorEastAsia" w:cstheme="majorEastAsia"/>
          <w:color w:val="AFABAB" w:themeColor="background2" w:themeShade="BF"/>
          <w:sz w:val="20"/>
          <w:szCs w:val="20"/>
          <w:shd w:val="clear" w:color="auto" w:fill="auto"/>
        </w:rPr>
        <w:t>联系方式｜020-85200110、020-85200119</w:t>
      </w:r>
    </w:p>
    <w:p>
      <w:pPr>
        <w:rPr>
          <w:rFonts w:hint="eastAsia" w:asciiTheme="majorEastAsia" w:hAnsiTheme="majorEastAsia" w:eastAsiaTheme="majorEastAsia" w:cstheme="majorEastAsia"/>
          <w:color w:val="auto"/>
          <w:sz w:val="24"/>
          <w:szCs w:val="24"/>
          <w:shd w:val="clear" w:color="auto" w:fill="auto"/>
        </w:rPr>
      </w:pPr>
    </w:p>
    <w:p>
      <w:pPr>
        <w:rPr>
          <w:rFonts w:hint="eastAsia" w:asciiTheme="majorEastAsia" w:hAnsiTheme="majorEastAsia" w:eastAsiaTheme="majorEastAsia" w:cstheme="majorEastAsia"/>
          <w:color w:val="auto"/>
          <w:sz w:val="24"/>
          <w:szCs w:val="24"/>
          <w:shd w:val="clear" w:color="auto" w:fil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4YmM2MGQ1ZDQ5NzhiMTgzYWI5Zjc2MTk1NzAyOTQifQ=="/>
  </w:docVars>
  <w:rsids>
    <w:rsidRoot w:val="78FE47A5"/>
    <w:rsid w:val="78FE4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2023-09-07T02:54:00Z</dcterms:created>
  <dc:creator>D.Q.</dc:creator>
  <cp:lastModifiedBy>D.Q.</cp:lastModifiedBy>
  <dcterms:modified xsi:type="dcterms:W3CDTF">2023-09-07T03:04:32Z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67C172F9DD854E688982199CF4F32D3D_11</vt:lpwstr>
  </property>
</Properties>
</file>